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2B0D" w14:textId="77777777" w:rsidR="004F0189" w:rsidRDefault="004F0189" w:rsidP="00E379EC">
      <w:pPr>
        <w:pStyle w:val="Sinespaciado"/>
        <w:ind w:left="-851" w:right="-801"/>
        <w:rPr>
          <w:lang w:val="es-ES"/>
        </w:rPr>
      </w:pPr>
    </w:p>
    <w:p w14:paraId="486193A8" w14:textId="4AE6C0ED" w:rsidR="00E379EC" w:rsidRDefault="00E379EC" w:rsidP="00E379EC">
      <w:pPr>
        <w:pStyle w:val="Sinespaciado"/>
        <w:ind w:left="-851" w:right="-801"/>
        <w:rPr>
          <w:lang w:val="es-ES"/>
        </w:rPr>
      </w:pPr>
      <w:r>
        <w:rPr>
          <w:lang w:val="es-ES"/>
        </w:rPr>
        <w:t>Señores</w:t>
      </w:r>
    </w:p>
    <w:p w14:paraId="626A7057" w14:textId="77777777" w:rsidR="00E379EC" w:rsidRDefault="00E379EC" w:rsidP="00E379EC">
      <w:pPr>
        <w:pStyle w:val="Sinespaciado"/>
        <w:ind w:left="-851" w:right="-801"/>
        <w:rPr>
          <w:b/>
          <w:bCs/>
          <w:lang w:val="es-ES"/>
        </w:rPr>
      </w:pPr>
      <w:r w:rsidRPr="004F0189">
        <w:rPr>
          <w:b/>
          <w:bCs/>
          <w:lang w:val="es-ES"/>
        </w:rPr>
        <w:t>NUEVA EMPRESA PROMOTORA DE SALUD NUEVA EPS</w:t>
      </w:r>
    </w:p>
    <w:p w14:paraId="3B16CC11" w14:textId="5195C1DC" w:rsidR="004F0189" w:rsidRDefault="00271D50" w:rsidP="00E379EC">
      <w:pPr>
        <w:pStyle w:val="Sinespaciado"/>
        <w:ind w:left="-851" w:right="-801"/>
        <w:rPr>
          <w:lang w:val="es-ES"/>
        </w:rPr>
      </w:pPr>
      <w:r w:rsidRPr="004F0189">
        <w:rPr>
          <w:lang w:val="es-ES"/>
        </w:rPr>
        <w:t>Dp</w:t>
      </w:r>
      <w:r>
        <w:rPr>
          <w:lang w:val="es-ES"/>
        </w:rPr>
        <w:t>t</w:t>
      </w:r>
      <w:r w:rsidRPr="004F0189">
        <w:rPr>
          <w:lang w:val="es-ES"/>
        </w:rPr>
        <w:t>o.</w:t>
      </w:r>
      <w:r w:rsidR="004F0189" w:rsidRPr="004F0189">
        <w:rPr>
          <w:lang w:val="es-ES"/>
        </w:rPr>
        <w:t xml:space="preserve"> de Cuentas Medicas</w:t>
      </w:r>
    </w:p>
    <w:p w14:paraId="64C6E1EF" w14:textId="77777777" w:rsidR="00271D50" w:rsidRDefault="00271D50" w:rsidP="00E379EC">
      <w:pPr>
        <w:pStyle w:val="Sinespaciado"/>
        <w:ind w:left="-851" w:right="-801"/>
        <w:rPr>
          <w:lang w:val="es-ES"/>
        </w:rPr>
      </w:pPr>
    </w:p>
    <w:p w14:paraId="0950AB0D" w14:textId="77777777" w:rsidR="00271D50" w:rsidRDefault="00271D50" w:rsidP="00E379EC">
      <w:pPr>
        <w:pStyle w:val="Sinespaciado"/>
        <w:ind w:left="-851" w:right="-801"/>
        <w:rPr>
          <w:lang w:val="es-ES"/>
        </w:rPr>
      </w:pPr>
    </w:p>
    <w:p w14:paraId="12B3A3C4" w14:textId="05CBB032" w:rsidR="00271D50" w:rsidRDefault="00271D50" w:rsidP="00E379EC">
      <w:pPr>
        <w:pStyle w:val="Sinespaciado"/>
        <w:ind w:left="-851" w:right="-801"/>
      </w:pPr>
      <w:r>
        <w:rPr>
          <w:lang w:val="es-ES"/>
        </w:rPr>
        <w:t xml:space="preserve">Referencia: Legalización de facturas Decreto 441 del 28 de marzo 2022, en su </w:t>
      </w:r>
      <w:r>
        <w:t xml:space="preserve">Artículo </w:t>
      </w:r>
      <w:r w:rsidRPr="00271D50">
        <w:t>2.5.3.4.5.1 Detalle de pagos posteriores a la radicación de las facturas.</w:t>
      </w:r>
    </w:p>
    <w:p w14:paraId="2DD24B6F" w14:textId="77777777" w:rsidR="00271D50" w:rsidRDefault="00271D50" w:rsidP="00E379EC">
      <w:pPr>
        <w:pStyle w:val="Sinespaciado"/>
        <w:ind w:left="-851" w:right="-801"/>
      </w:pPr>
    </w:p>
    <w:p w14:paraId="0379A548" w14:textId="77777777" w:rsidR="00271D50" w:rsidRDefault="00271D50" w:rsidP="00E379EC">
      <w:pPr>
        <w:pStyle w:val="Sinespaciado"/>
        <w:ind w:left="-851" w:right="-801"/>
      </w:pPr>
    </w:p>
    <w:p w14:paraId="57BAEFA5" w14:textId="6545CCD8" w:rsidR="00E379EC" w:rsidRDefault="00271D50" w:rsidP="00271D50">
      <w:pPr>
        <w:pStyle w:val="Sinespaciado"/>
        <w:ind w:left="-851" w:right="-801"/>
      </w:pPr>
      <w:r>
        <w:t>Cordial saludo,</w:t>
      </w:r>
    </w:p>
    <w:p w14:paraId="74AE9949" w14:textId="77777777" w:rsidR="00271D50" w:rsidRDefault="00271D50" w:rsidP="00271D50">
      <w:pPr>
        <w:pStyle w:val="Sinespaciado"/>
        <w:ind w:left="-851" w:right="-801"/>
        <w:rPr>
          <w:lang w:val="es-ES"/>
        </w:rPr>
      </w:pPr>
    </w:p>
    <w:p w14:paraId="39887DEF" w14:textId="39A63A85" w:rsidR="00E379EC" w:rsidRPr="00946BBC" w:rsidRDefault="00E379EC" w:rsidP="00E379EC">
      <w:pPr>
        <w:ind w:left="-851" w:right="-801"/>
        <w:jc w:val="both"/>
        <w:rPr>
          <w:i/>
          <w:iCs/>
        </w:rPr>
      </w:pPr>
      <w:r>
        <w:rPr>
          <w:lang w:val="es-ES"/>
        </w:rPr>
        <w:t xml:space="preserve">Por medio de la presente y acogiéndonos al decreto 441 del 28 de marzo 2022, en su </w:t>
      </w:r>
      <w:r>
        <w:t xml:space="preserve">Artículo </w:t>
      </w:r>
      <w:r w:rsidRPr="00FF396D">
        <w:rPr>
          <w:b/>
          <w:bCs/>
        </w:rPr>
        <w:t>2.5.3.4.5.1 Detalle de pagos posteriores a la radicación de las facturas.</w:t>
      </w:r>
      <w:r>
        <w:t xml:space="preserve"> </w:t>
      </w:r>
      <w:r w:rsidR="00946BBC">
        <w:t>“</w:t>
      </w:r>
      <w:r w:rsidRPr="00946BBC">
        <w:rPr>
          <w:i/>
          <w:iCs/>
        </w:rPr>
        <w:t xml:space="preserve">Dentro de los tres (3) días hábiles siguientes a la fecha en que se efectúe el giro de los recursos por parte de la entidad responsable de pago o a través de la ADRES, la entidad responsable de pago deberá informar al prestador de servicios de salud o proveedor de tecnologías en salud el detalle de las facturas de venta a las cuales les será aplicado este valor. </w:t>
      </w:r>
    </w:p>
    <w:p w14:paraId="6804B81E" w14:textId="37E493D0" w:rsidR="00E379EC" w:rsidRPr="00946BBC" w:rsidRDefault="00E379EC" w:rsidP="00E379EC">
      <w:pPr>
        <w:ind w:left="-851" w:right="-801"/>
        <w:jc w:val="both"/>
        <w:rPr>
          <w:i/>
          <w:iCs/>
        </w:rPr>
      </w:pPr>
      <w:r w:rsidRPr="00946BBC">
        <w:rPr>
          <w:i/>
          <w:iCs/>
        </w:rPr>
        <w:t>El detalle del pago realizado no puede ser objeto de modificación posterior, con excepción de aquellas facturas que cuenten con glosa aceptada expresa o tácitamente y sobre las cuales se hubiere realizado un pago previo a la aceptación de la glosa En los casos en que la entidad responsable de pago no atienda esta obligación en el término establecido en el inciso anterior, el prestador de servicios de salud o proveedor de tecnologías en salud podrá aplicar los valores del giro a las facturas aceptadas expresa o tácitamente que no se encuentren pagadas por la entidad responsable de pago, la información de la aplicación de estos pagos deberá ser suministrada por el prestador o proveedor a la entidad responsable de pago dentro de los quince (15) días hábiles siguientes al vencimiento del término previsto en el inciso anterior, con el fin de que se efectúen los ajustes presupuestales y contables correspondientes.</w:t>
      </w:r>
      <w:r w:rsidR="00946BBC">
        <w:rPr>
          <w:i/>
          <w:iCs/>
        </w:rPr>
        <w:t>”</w:t>
      </w:r>
    </w:p>
    <w:p w14:paraId="18184C2A" w14:textId="77777777" w:rsidR="00E379EC" w:rsidRDefault="00E379EC" w:rsidP="00E379EC">
      <w:pPr>
        <w:ind w:left="-851" w:right="-801"/>
        <w:jc w:val="both"/>
      </w:pPr>
      <w:r>
        <w:t>Basados en lo anterior, enviamos la relación de facturas a aplicar según los pagos recibidos en las siguientes fechas:</w:t>
      </w:r>
    </w:p>
    <w:tbl>
      <w:tblPr>
        <w:tblStyle w:val="Tablaconcuadrcula"/>
        <w:tblW w:w="0" w:type="auto"/>
        <w:jc w:val="center"/>
        <w:tblLook w:val="04A0" w:firstRow="1" w:lastRow="0" w:firstColumn="1" w:lastColumn="0" w:noHBand="0" w:noVBand="1"/>
      </w:tblPr>
      <w:tblGrid>
        <w:gridCol w:w="3970"/>
        <w:gridCol w:w="2551"/>
      </w:tblGrid>
      <w:tr w:rsidR="00E379EC" w:rsidRPr="00E379EC" w14:paraId="537CBE40" w14:textId="77777777" w:rsidTr="00C737DF">
        <w:trPr>
          <w:jc w:val="center"/>
        </w:trPr>
        <w:tc>
          <w:tcPr>
            <w:tcW w:w="6521" w:type="dxa"/>
            <w:gridSpan w:val="2"/>
            <w:shd w:val="clear" w:color="auto" w:fill="DEEAF6" w:themeFill="accent1" w:themeFillTint="33"/>
          </w:tcPr>
          <w:p w14:paraId="772EA4FF" w14:textId="77777777" w:rsidR="00E379EC" w:rsidRPr="00E379EC" w:rsidRDefault="00E379EC" w:rsidP="00E379EC">
            <w:pPr>
              <w:pStyle w:val="Sinespaciado"/>
              <w:jc w:val="center"/>
              <w:rPr>
                <w:b/>
                <w:bCs/>
              </w:rPr>
            </w:pPr>
            <w:r w:rsidRPr="00E379EC">
              <w:rPr>
                <w:b/>
                <w:bCs/>
              </w:rPr>
              <w:t>PAGOS REALIZADOS POR LA NUEVA EPS</w:t>
            </w:r>
          </w:p>
        </w:tc>
      </w:tr>
      <w:tr w:rsidR="00E379EC" w:rsidRPr="00E379EC" w14:paraId="7D7BF1C6" w14:textId="77777777" w:rsidTr="00C737DF">
        <w:trPr>
          <w:jc w:val="center"/>
        </w:trPr>
        <w:tc>
          <w:tcPr>
            <w:tcW w:w="3970" w:type="dxa"/>
            <w:shd w:val="clear" w:color="auto" w:fill="DEEAF6" w:themeFill="accent1" w:themeFillTint="33"/>
          </w:tcPr>
          <w:p w14:paraId="739B8193" w14:textId="77777777" w:rsidR="00E379EC" w:rsidRPr="004F0189" w:rsidRDefault="00E379EC" w:rsidP="004F0189">
            <w:pPr>
              <w:pStyle w:val="Sinespaciado"/>
              <w:jc w:val="center"/>
              <w:rPr>
                <w:b/>
                <w:bCs/>
              </w:rPr>
            </w:pPr>
            <w:r w:rsidRPr="004F0189">
              <w:rPr>
                <w:b/>
                <w:bCs/>
              </w:rPr>
              <w:t>FECHA</w:t>
            </w:r>
          </w:p>
        </w:tc>
        <w:tc>
          <w:tcPr>
            <w:tcW w:w="2551" w:type="dxa"/>
            <w:shd w:val="clear" w:color="auto" w:fill="DEEAF6" w:themeFill="accent1" w:themeFillTint="33"/>
          </w:tcPr>
          <w:p w14:paraId="2FC6ECEC" w14:textId="77777777" w:rsidR="00E379EC" w:rsidRPr="004F0189" w:rsidRDefault="00E379EC" w:rsidP="004F0189">
            <w:pPr>
              <w:pStyle w:val="Sinespaciado"/>
              <w:jc w:val="center"/>
              <w:rPr>
                <w:b/>
                <w:bCs/>
              </w:rPr>
            </w:pPr>
            <w:r w:rsidRPr="004F0189">
              <w:rPr>
                <w:b/>
                <w:bCs/>
              </w:rPr>
              <w:t>VALOR</w:t>
            </w:r>
          </w:p>
        </w:tc>
      </w:tr>
      <w:tr w:rsidR="00E379EC" w:rsidRPr="00E379EC" w14:paraId="76EB1058" w14:textId="77777777" w:rsidTr="00C737DF">
        <w:trPr>
          <w:jc w:val="center"/>
        </w:trPr>
        <w:tc>
          <w:tcPr>
            <w:tcW w:w="3970" w:type="dxa"/>
          </w:tcPr>
          <w:p w14:paraId="16F7232E" w14:textId="77777777" w:rsidR="00E379EC" w:rsidRPr="00E379EC" w:rsidRDefault="00E379EC" w:rsidP="00E379EC">
            <w:pPr>
              <w:pStyle w:val="Sinespaciado"/>
            </w:pPr>
            <w:r w:rsidRPr="00E379EC">
              <w:t>27/03/2023</w:t>
            </w:r>
          </w:p>
        </w:tc>
        <w:tc>
          <w:tcPr>
            <w:tcW w:w="2551" w:type="dxa"/>
          </w:tcPr>
          <w:p w14:paraId="220D6511" w14:textId="77777777" w:rsidR="00E379EC" w:rsidRPr="00E379EC" w:rsidRDefault="00E379EC" w:rsidP="004F0189">
            <w:pPr>
              <w:pStyle w:val="Sinespaciado"/>
              <w:jc w:val="right"/>
            </w:pPr>
            <w:r w:rsidRPr="00E379EC">
              <w:t>$357.000.000</w:t>
            </w:r>
          </w:p>
        </w:tc>
      </w:tr>
      <w:tr w:rsidR="00E379EC" w:rsidRPr="00E379EC" w14:paraId="5586CC80" w14:textId="77777777" w:rsidTr="00C737DF">
        <w:trPr>
          <w:jc w:val="center"/>
        </w:trPr>
        <w:tc>
          <w:tcPr>
            <w:tcW w:w="3970" w:type="dxa"/>
          </w:tcPr>
          <w:p w14:paraId="32DEF1A3" w14:textId="77777777" w:rsidR="00E379EC" w:rsidRPr="00E379EC" w:rsidRDefault="00E379EC" w:rsidP="00E379EC">
            <w:pPr>
              <w:pStyle w:val="Sinespaciado"/>
            </w:pPr>
            <w:r w:rsidRPr="00E379EC">
              <w:t>28/03/2023</w:t>
            </w:r>
          </w:p>
        </w:tc>
        <w:tc>
          <w:tcPr>
            <w:tcW w:w="2551" w:type="dxa"/>
          </w:tcPr>
          <w:p w14:paraId="2DE8C2D2" w14:textId="77777777" w:rsidR="00E379EC" w:rsidRPr="00E379EC" w:rsidRDefault="00E379EC" w:rsidP="004F0189">
            <w:pPr>
              <w:pStyle w:val="Sinespaciado"/>
              <w:jc w:val="right"/>
            </w:pPr>
            <w:r w:rsidRPr="00E379EC">
              <w:t>$19.975.629</w:t>
            </w:r>
          </w:p>
        </w:tc>
      </w:tr>
      <w:tr w:rsidR="00E379EC" w:rsidRPr="00E379EC" w14:paraId="2CF99143" w14:textId="77777777" w:rsidTr="00C737DF">
        <w:trPr>
          <w:jc w:val="center"/>
        </w:trPr>
        <w:tc>
          <w:tcPr>
            <w:tcW w:w="3970" w:type="dxa"/>
          </w:tcPr>
          <w:p w14:paraId="2F603F04" w14:textId="77777777" w:rsidR="00E379EC" w:rsidRPr="00E379EC" w:rsidRDefault="00E379EC" w:rsidP="00E379EC">
            <w:pPr>
              <w:pStyle w:val="Sinespaciado"/>
            </w:pPr>
            <w:r w:rsidRPr="00E379EC">
              <w:t>28/03/2023</w:t>
            </w:r>
          </w:p>
        </w:tc>
        <w:tc>
          <w:tcPr>
            <w:tcW w:w="2551" w:type="dxa"/>
          </w:tcPr>
          <w:p w14:paraId="1A5E413D" w14:textId="77777777" w:rsidR="00E379EC" w:rsidRPr="00E379EC" w:rsidRDefault="00E379EC" w:rsidP="004F0189">
            <w:pPr>
              <w:pStyle w:val="Sinespaciado"/>
              <w:jc w:val="right"/>
            </w:pPr>
            <w:r w:rsidRPr="00E379EC">
              <w:t>$53.716.758</w:t>
            </w:r>
          </w:p>
        </w:tc>
      </w:tr>
      <w:tr w:rsidR="00A13E20" w:rsidRPr="00E379EC" w14:paraId="13559AA8" w14:textId="77777777" w:rsidTr="00C737DF">
        <w:trPr>
          <w:jc w:val="center"/>
        </w:trPr>
        <w:tc>
          <w:tcPr>
            <w:tcW w:w="3970" w:type="dxa"/>
          </w:tcPr>
          <w:p w14:paraId="672F3DD7" w14:textId="7EE930CB" w:rsidR="00A13E20" w:rsidRPr="00E379EC" w:rsidRDefault="00C737DF" w:rsidP="00E379EC">
            <w:pPr>
              <w:pStyle w:val="Sinespaciado"/>
            </w:pPr>
            <w:r>
              <w:t xml:space="preserve">Saldo de </w:t>
            </w:r>
            <w:r w:rsidR="00A13E20">
              <w:t xml:space="preserve">Giro de </w:t>
            </w:r>
            <w:r>
              <w:t>diciembre</w:t>
            </w:r>
            <w:r w:rsidR="00A13E20">
              <w:t xml:space="preserve"> 2022</w:t>
            </w:r>
            <w:r>
              <w:t>, no legalizado</w:t>
            </w:r>
          </w:p>
        </w:tc>
        <w:tc>
          <w:tcPr>
            <w:tcW w:w="2551" w:type="dxa"/>
          </w:tcPr>
          <w:p w14:paraId="1A644271" w14:textId="35D0AC75" w:rsidR="00A13E20" w:rsidRPr="00E379EC" w:rsidRDefault="00A13E20" w:rsidP="004F0189">
            <w:pPr>
              <w:pStyle w:val="Sinespaciado"/>
              <w:jc w:val="right"/>
            </w:pPr>
            <w:r>
              <w:t>$704.385</w:t>
            </w:r>
          </w:p>
        </w:tc>
      </w:tr>
      <w:tr w:rsidR="00E379EC" w:rsidRPr="00E379EC" w14:paraId="4C648851" w14:textId="77777777" w:rsidTr="00C737DF">
        <w:trPr>
          <w:jc w:val="center"/>
        </w:trPr>
        <w:tc>
          <w:tcPr>
            <w:tcW w:w="3970" w:type="dxa"/>
            <w:shd w:val="clear" w:color="auto" w:fill="E2EFD9" w:themeFill="accent6" w:themeFillTint="33"/>
          </w:tcPr>
          <w:p w14:paraId="7D46717B" w14:textId="77777777" w:rsidR="00E379EC" w:rsidRPr="00C737DF" w:rsidRDefault="00E379EC" w:rsidP="00E379EC">
            <w:pPr>
              <w:pStyle w:val="Sinespaciado"/>
              <w:rPr>
                <w:b/>
                <w:bCs/>
              </w:rPr>
            </w:pPr>
            <w:r w:rsidRPr="00C737DF">
              <w:rPr>
                <w:b/>
                <w:bCs/>
              </w:rPr>
              <w:t>TOTAL………</w:t>
            </w:r>
          </w:p>
        </w:tc>
        <w:tc>
          <w:tcPr>
            <w:tcW w:w="2551" w:type="dxa"/>
            <w:shd w:val="clear" w:color="auto" w:fill="E2EFD9" w:themeFill="accent6" w:themeFillTint="33"/>
          </w:tcPr>
          <w:p w14:paraId="127C7A17" w14:textId="7495D4E3" w:rsidR="00E379EC" w:rsidRPr="00C737DF" w:rsidRDefault="00E379EC" w:rsidP="004F0189">
            <w:pPr>
              <w:pStyle w:val="Sinespaciado"/>
              <w:jc w:val="right"/>
              <w:rPr>
                <w:b/>
                <w:bCs/>
              </w:rPr>
            </w:pPr>
            <w:r w:rsidRPr="00C737DF">
              <w:rPr>
                <w:b/>
                <w:bCs/>
              </w:rPr>
              <w:t>$</w:t>
            </w:r>
            <w:r w:rsidR="00C737DF" w:rsidRPr="00C737DF">
              <w:rPr>
                <w:b/>
                <w:bCs/>
              </w:rPr>
              <w:t>431.396.772</w:t>
            </w:r>
          </w:p>
        </w:tc>
      </w:tr>
    </w:tbl>
    <w:p w14:paraId="47CE5B99" w14:textId="77777777" w:rsidR="00E379EC" w:rsidRDefault="00E379EC" w:rsidP="00E379EC">
      <w:pPr>
        <w:ind w:left="-851" w:right="-801"/>
        <w:jc w:val="both"/>
      </w:pPr>
    </w:p>
    <w:p w14:paraId="529CE40F" w14:textId="67853C53" w:rsidR="00E379EC" w:rsidRDefault="00E379EC" w:rsidP="00E379EC">
      <w:pPr>
        <w:ind w:left="-851" w:right="-801"/>
        <w:jc w:val="both"/>
      </w:pPr>
      <w:r w:rsidRPr="00AA7D88">
        <w:rPr>
          <w:b/>
          <w:bCs/>
        </w:rPr>
        <w:lastRenderedPageBreak/>
        <w:t>FACTURAS LEGALIZADAS:</w:t>
      </w:r>
      <w:r w:rsidR="00694675">
        <w:rPr>
          <w:b/>
          <w:bCs/>
        </w:rPr>
        <w:t xml:space="preserve"> </w:t>
      </w:r>
      <w:r w:rsidR="00694675" w:rsidRPr="00694675">
        <w:t xml:space="preserve">Adjunto </w:t>
      </w:r>
      <w:r w:rsidR="007D5E3E">
        <w:t xml:space="preserve">PDF </w:t>
      </w:r>
      <w:r w:rsidR="00694675" w:rsidRPr="00694675">
        <w:t>de recibo de caja RCAV1921, con las facturas afectadas en el descargue de cartera.</w:t>
      </w:r>
    </w:p>
    <w:p w14:paraId="04D59044" w14:textId="77777777" w:rsidR="00694675" w:rsidRDefault="00694675" w:rsidP="00E379EC">
      <w:pPr>
        <w:ind w:left="-851" w:right="-801"/>
        <w:jc w:val="both"/>
        <w:rPr>
          <w:b/>
          <w:bCs/>
        </w:rPr>
      </w:pPr>
    </w:p>
    <w:p w14:paraId="3D4C30A1" w14:textId="0B01EE53" w:rsidR="00694675" w:rsidRDefault="00694675" w:rsidP="00E379EC">
      <w:pPr>
        <w:ind w:left="-851" w:right="-801"/>
        <w:jc w:val="both"/>
        <w:rPr>
          <w:b/>
          <w:bCs/>
        </w:rPr>
      </w:pPr>
      <w:r>
        <w:rPr>
          <w:b/>
          <w:bCs/>
        </w:rPr>
        <w:t>Sin otro particular,</w:t>
      </w:r>
    </w:p>
    <w:p w14:paraId="4F820061" w14:textId="19B159A1" w:rsidR="00694675" w:rsidRDefault="00694675" w:rsidP="00E379EC">
      <w:pPr>
        <w:ind w:left="-851" w:right="-801"/>
        <w:jc w:val="both"/>
        <w:rPr>
          <w:b/>
          <w:bCs/>
        </w:rPr>
      </w:pPr>
    </w:p>
    <w:p w14:paraId="291EC9FE" w14:textId="31701145" w:rsidR="00694675" w:rsidRDefault="00694675" w:rsidP="001066B9">
      <w:pPr>
        <w:ind w:left="-851" w:right="-801"/>
        <w:jc w:val="both"/>
      </w:pPr>
      <w:r>
        <w:t xml:space="preserve"> </w:t>
      </w:r>
    </w:p>
    <w:p w14:paraId="7C87F764" w14:textId="77777777" w:rsidR="00694675" w:rsidRDefault="00694675" w:rsidP="00694675">
      <w:pPr>
        <w:pStyle w:val="Sinespaciado"/>
        <w:ind w:hanging="851"/>
      </w:pPr>
    </w:p>
    <w:p w14:paraId="6A389A56" w14:textId="77777777" w:rsidR="00FE6BE4" w:rsidRDefault="00FE6BE4" w:rsidP="00694675">
      <w:pPr>
        <w:pStyle w:val="Sinespaciado"/>
        <w:ind w:hanging="851"/>
      </w:pPr>
    </w:p>
    <w:p w14:paraId="5C949F0C" w14:textId="77777777" w:rsidR="00FE6BE4" w:rsidRDefault="00FE6BE4" w:rsidP="00694675">
      <w:pPr>
        <w:pStyle w:val="Sinespaciado"/>
        <w:ind w:hanging="851"/>
      </w:pPr>
    </w:p>
    <w:p w14:paraId="2AD050A7" w14:textId="77777777" w:rsidR="00FE6BE4" w:rsidRDefault="00FE6BE4" w:rsidP="00694675">
      <w:pPr>
        <w:pStyle w:val="Sinespaciado"/>
        <w:ind w:hanging="851"/>
      </w:pPr>
    </w:p>
    <w:p w14:paraId="2DB9344F" w14:textId="77777777" w:rsidR="00FE6BE4" w:rsidRDefault="00FE6BE4" w:rsidP="00694675">
      <w:pPr>
        <w:pStyle w:val="Sinespaciado"/>
        <w:ind w:hanging="851"/>
      </w:pPr>
    </w:p>
    <w:p w14:paraId="07C2C971" w14:textId="77777777" w:rsidR="00FE6BE4" w:rsidRDefault="00FE6BE4" w:rsidP="00694675">
      <w:pPr>
        <w:pStyle w:val="Sinespaciado"/>
        <w:ind w:hanging="851"/>
      </w:pPr>
    </w:p>
    <w:p w14:paraId="39B2C74B" w14:textId="77777777" w:rsidR="00FE6BE4" w:rsidRDefault="00FE6BE4" w:rsidP="00694675">
      <w:pPr>
        <w:pStyle w:val="Sinespaciado"/>
        <w:ind w:hanging="851"/>
      </w:pPr>
    </w:p>
    <w:p w14:paraId="0B515F6F" w14:textId="77777777" w:rsidR="00694675" w:rsidRDefault="00694675" w:rsidP="00694675">
      <w:pPr>
        <w:pStyle w:val="Sinespaciado"/>
        <w:ind w:hanging="851"/>
      </w:pPr>
    </w:p>
    <w:p w14:paraId="422F64D9" w14:textId="7341F267" w:rsidR="00FE6BE4" w:rsidRPr="00FE6BE4" w:rsidRDefault="00FE6BE4" w:rsidP="007D5E3E">
      <w:pPr>
        <w:pStyle w:val="Sinespaciado"/>
        <w:rPr>
          <w:sz w:val="14"/>
          <w:szCs w:val="14"/>
        </w:rPr>
      </w:pPr>
    </w:p>
    <w:sectPr w:rsidR="00FE6BE4" w:rsidRPr="00FE6BE4" w:rsidSect="006B34FB">
      <w:headerReference w:type="default" r:id="rId7"/>
      <w:pgSz w:w="12240" w:h="15840"/>
      <w:pgMar w:top="3600" w:right="1701" w:bottom="81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9538" w14:textId="77777777" w:rsidR="006B34FB" w:rsidRDefault="006B34FB" w:rsidP="00655242">
      <w:pPr>
        <w:spacing w:after="0" w:line="240" w:lineRule="auto"/>
      </w:pPr>
      <w:r>
        <w:separator/>
      </w:r>
    </w:p>
  </w:endnote>
  <w:endnote w:type="continuationSeparator" w:id="0">
    <w:p w14:paraId="331AC878" w14:textId="77777777" w:rsidR="006B34FB" w:rsidRDefault="006B34FB" w:rsidP="0065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6E85" w14:textId="77777777" w:rsidR="006B34FB" w:rsidRDefault="006B34FB" w:rsidP="00655242">
      <w:pPr>
        <w:spacing w:after="0" w:line="240" w:lineRule="auto"/>
      </w:pPr>
      <w:r>
        <w:separator/>
      </w:r>
    </w:p>
  </w:footnote>
  <w:footnote w:type="continuationSeparator" w:id="0">
    <w:p w14:paraId="5D901464" w14:textId="77777777" w:rsidR="006B34FB" w:rsidRDefault="006B34FB" w:rsidP="0065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C1B" w14:textId="3E04D116" w:rsidR="00655242" w:rsidRDefault="00655242">
    <w:pPr>
      <w:pStyle w:val="Encabezado"/>
    </w:pPr>
  </w:p>
  <w:p w14:paraId="071D291D" w14:textId="77777777" w:rsidR="00655242" w:rsidRDefault="00655242">
    <w:pPr>
      <w:pStyle w:val="Encabezado"/>
    </w:pPr>
  </w:p>
  <w:p w14:paraId="04BF04F2" w14:textId="77777777" w:rsidR="00655242" w:rsidRDefault="00655242">
    <w:pPr>
      <w:pStyle w:val="Encabezado"/>
    </w:pPr>
  </w:p>
  <w:p w14:paraId="2F2D6F5D" w14:textId="77777777" w:rsidR="00655242" w:rsidRDefault="00655242">
    <w:pPr>
      <w:pStyle w:val="Encabezado"/>
    </w:pPr>
  </w:p>
  <w:p w14:paraId="7D160624" w14:textId="77777777" w:rsidR="00655242" w:rsidRDefault="00655242">
    <w:pPr>
      <w:pStyle w:val="Encabezado"/>
    </w:pPr>
  </w:p>
  <w:p w14:paraId="50F69E98" w14:textId="77777777" w:rsidR="00655242" w:rsidRDefault="00655242">
    <w:pPr>
      <w:pStyle w:val="Encabezado"/>
    </w:pPr>
  </w:p>
  <w:p w14:paraId="202F0F74" w14:textId="77777777" w:rsidR="00655242" w:rsidRDefault="00655242">
    <w:pPr>
      <w:pStyle w:val="Encabezado"/>
    </w:pPr>
  </w:p>
  <w:p w14:paraId="48708DA3" w14:textId="77777777" w:rsidR="00655242" w:rsidRDefault="00332782" w:rsidP="00332782">
    <w:pPr>
      <w:pStyle w:val="Encabezado"/>
      <w:tabs>
        <w:tab w:val="clear" w:pos="4419"/>
        <w:tab w:val="clear" w:pos="8838"/>
        <w:tab w:val="left" w:pos="1572"/>
      </w:tabs>
    </w:pPr>
    <w:r>
      <w:tab/>
    </w:r>
  </w:p>
  <w:p w14:paraId="20F67E68" w14:textId="77777777" w:rsidR="00655242" w:rsidRDefault="00655242">
    <w:pPr>
      <w:pStyle w:val="Encabezado"/>
    </w:pPr>
  </w:p>
  <w:p w14:paraId="2B5C2D9B" w14:textId="77777777" w:rsidR="00655242" w:rsidRDefault="00655242">
    <w:pPr>
      <w:pStyle w:val="Encabezado"/>
    </w:pPr>
  </w:p>
  <w:p w14:paraId="0A4E5446" w14:textId="77777777" w:rsidR="00655242" w:rsidRDefault="00655242">
    <w:pPr>
      <w:pStyle w:val="Encabezado"/>
    </w:pPr>
  </w:p>
  <w:p w14:paraId="7A03C769" w14:textId="7E6CED99" w:rsidR="00655242" w:rsidRDefault="007D5E3E" w:rsidP="00293F73">
    <w:pPr>
      <w:pStyle w:val="Sinespaciado"/>
      <w:ind w:hanging="1080"/>
      <w:rPr>
        <w:rFonts w:ascii="Tahoma" w:hAnsi="Tahoma" w:cs="Tahoma"/>
        <w:sz w:val="20"/>
        <w:szCs w:val="20"/>
      </w:rPr>
    </w:pPr>
    <w:r>
      <w:rPr>
        <w:rFonts w:ascii="Tahoma" w:hAnsi="Tahoma" w:cs="Tahoma"/>
        <w:sz w:val="20"/>
        <w:szCs w:val="20"/>
      </w:rPr>
      <w:t xml:space="preserve">     </w:t>
    </w:r>
    <w:r w:rsidR="00655242" w:rsidRPr="00293F73">
      <w:rPr>
        <w:rFonts w:ascii="Tahoma" w:hAnsi="Tahoma" w:cs="Tahoma"/>
        <w:sz w:val="20"/>
        <w:szCs w:val="20"/>
      </w:rPr>
      <w:t xml:space="preserve">San José de Cúcuta, </w:t>
    </w:r>
    <w:r w:rsidR="008D6A9F">
      <w:rPr>
        <w:rFonts w:ascii="Tahoma" w:hAnsi="Tahoma" w:cs="Tahoma"/>
        <w:sz w:val="20"/>
        <w:szCs w:val="20"/>
      </w:rPr>
      <w:t>2</w:t>
    </w:r>
    <w:r w:rsidR="004F0189">
      <w:rPr>
        <w:rFonts w:ascii="Tahoma" w:hAnsi="Tahoma" w:cs="Tahoma"/>
        <w:sz w:val="20"/>
        <w:szCs w:val="20"/>
      </w:rPr>
      <w:t>7</w:t>
    </w:r>
    <w:r w:rsidR="008D6A9F">
      <w:rPr>
        <w:rFonts w:ascii="Tahoma" w:hAnsi="Tahoma" w:cs="Tahoma"/>
        <w:sz w:val="20"/>
        <w:szCs w:val="20"/>
      </w:rPr>
      <w:t xml:space="preserve"> de abril de 2023</w:t>
    </w:r>
  </w:p>
  <w:p w14:paraId="7E05FA02" w14:textId="23F685B8" w:rsidR="00655242" w:rsidRPr="00293F73" w:rsidRDefault="00655242" w:rsidP="007D5E3E">
    <w:pPr>
      <w:pStyle w:val="Sinespaciado"/>
      <w:rPr>
        <w:rFonts w:ascii="Tahoma" w:hAnsi="Tahoma" w:cs="Tahoma"/>
        <w:sz w:val="20"/>
        <w:szCs w:val="20"/>
      </w:rPr>
    </w:pPr>
  </w:p>
  <w:p w14:paraId="46550A19" w14:textId="77777777" w:rsidR="00655242" w:rsidRDefault="00655242" w:rsidP="00655242">
    <w:pPr>
      <w:pStyle w:val="Encabezado"/>
      <w:ind w:hanging="11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D1A"/>
    <w:multiLevelType w:val="hybridMultilevel"/>
    <w:tmpl w:val="7D5A467E"/>
    <w:lvl w:ilvl="0" w:tplc="240A000F">
      <w:start w:val="1"/>
      <w:numFmt w:val="decimal"/>
      <w:lvlText w:val="%1."/>
      <w:lvlJc w:val="left"/>
      <w:pPr>
        <w:ind w:left="360"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 w15:restartNumberingAfterBreak="0">
    <w:nsid w:val="7FAE1366"/>
    <w:multiLevelType w:val="hybridMultilevel"/>
    <w:tmpl w:val="C1E29ED8"/>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360" w:hanging="360"/>
      </w:pPr>
      <w:rPr>
        <w:rFonts w:ascii="Courier New" w:hAnsi="Courier New" w:cs="Courier New" w:hint="default"/>
      </w:rPr>
    </w:lvl>
    <w:lvl w:ilvl="2" w:tplc="540A0005" w:tentative="1">
      <w:start w:val="1"/>
      <w:numFmt w:val="bullet"/>
      <w:lvlText w:val=""/>
      <w:lvlJc w:val="left"/>
      <w:pPr>
        <w:ind w:left="1080" w:hanging="360"/>
      </w:pPr>
      <w:rPr>
        <w:rFonts w:ascii="Wingdings" w:hAnsi="Wingdings" w:hint="default"/>
      </w:rPr>
    </w:lvl>
    <w:lvl w:ilvl="3" w:tplc="540A0001" w:tentative="1">
      <w:start w:val="1"/>
      <w:numFmt w:val="bullet"/>
      <w:lvlText w:val=""/>
      <w:lvlJc w:val="left"/>
      <w:pPr>
        <w:ind w:left="1800" w:hanging="360"/>
      </w:pPr>
      <w:rPr>
        <w:rFonts w:ascii="Symbol" w:hAnsi="Symbol" w:hint="default"/>
      </w:rPr>
    </w:lvl>
    <w:lvl w:ilvl="4" w:tplc="540A0003" w:tentative="1">
      <w:start w:val="1"/>
      <w:numFmt w:val="bullet"/>
      <w:lvlText w:val="o"/>
      <w:lvlJc w:val="left"/>
      <w:pPr>
        <w:ind w:left="2520" w:hanging="360"/>
      </w:pPr>
      <w:rPr>
        <w:rFonts w:ascii="Courier New" w:hAnsi="Courier New" w:cs="Courier New" w:hint="default"/>
      </w:rPr>
    </w:lvl>
    <w:lvl w:ilvl="5" w:tplc="540A0005" w:tentative="1">
      <w:start w:val="1"/>
      <w:numFmt w:val="bullet"/>
      <w:lvlText w:val=""/>
      <w:lvlJc w:val="left"/>
      <w:pPr>
        <w:ind w:left="3240" w:hanging="360"/>
      </w:pPr>
      <w:rPr>
        <w:rFonts w:ascii="Wingdings" w:hAnsi="Wingdings" w:hint="default"/>
      </w:rPr>
    </w:lvl>
    <w:lvl w:ilvl="6" w:tplc="540A0001" w:tentative="1">
      <w:start w:val="1"/>
      <w:numFmt w:val="bullet"/>
      <w:lvlText w:val=""/>
      <w:lvlJc w:val="left"/>
      <w:pPr>
        <w:ind w:left="3960" w:hanging="360"/>
      </w:pPr>
      <w:rPr>
        <w:rFonts w:ascii="Symbol" w:hAnsi="Symbol" w:hint="default"/>
      </w:rPr>
    </w:lvl>
    <w:lvl w:ilvl="7" w:tplc="540A0003" w:tentative="1">
      <w:start w:val="1"/>
      <w:numFmt w:val="bullet"/>
      <w:lvlText w:val="o"/>
      <w:lvlJc w:val="left"/>
      <w:pPr>
        <w:ind w:left="4680" w:hanging="360"/>
      </w:pPr>
      <w:rPr>
        <w:rFonts w:ascii="Courier New" w:hAnsi="Courier New" w:cs="Courier New" w:hint="default"/>
      </w:rPr>
    </w:lvl>
    <w:lvl w:ilvl="8" w:tplc="540A0005" w:tentative="1">
      <w:start w:val="1"/>
      <w:numFmt w:val="bullet"/>
      <w:lvlText w:val=""/>
      <w:lvlJc w:val="left"/>
      <w:pPr>
        <w:ind w:left="5400" w:hanging="360"/>
      </w:pPr>
      <w:rPr>
        <w:rFonts w:ascii="Wingdings" w:hAnsi="Wingdings" w:hint="default"/>
      </w:rPr>
    </w:lvl>
  </w:abstractNum>
  <w:num w:numId="1" w16cid:durableId="96365479">
    <w:abstractNumId w:val="0"/>
  </w:num>
  <w:num w:numId="2" w16cid:durableId="225144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42"/>
    <w:rsid w:val="00002772"/>
    <w:rsid w:val="00072B28"/>
    <w:rsid w:val="0007552A"/>
    <w:rsid w:val="00085AEA"/>
    <w:rsid w:val="000A285F"/>
    <w:rsid w:val="001066B9"/>
    <w:rsid w:val="00153884"/>
    <w:rsid w:val="00161B8D"/>
    <w:rsid w:val="001863A7"/>
    <w:rsid w:val="00187DBB"/>
    <w:rsid w:val="00227D46"/>
    <w:rsid w:val="00245950"/>
    <w:rsid w:val="00260B5D"/>
    <w:rsid w:val="002657F6"/>
    <w:rsid w:val="00271D50"/>
    <w:rsid w:val="00293F73"/>
    <w:rsid w:val="002A03D8"/>
    <w:rsid w:val="00311293"/>
    <w:rsid w:val="003263A7"/>
    <w:rsid w:val="00331572"/>
    <w:rsid w:val="00332782"/>
    <w:rsid w:val="003344E0"/>
    <w:rsid w:val="00386B6A"/>
    <w:rsid w:val="003E020D"/>
    <w:rsid w:val="004175E9"/>
    <w:rsid w:val="00457CE3"/>
    <w:rsid w:val="004A04E9"/>
    <w:rsid w:val="004A35A2"/>
    <w:rsid w:val="004D73A9"/>
    <w:rsid w:val="004F0189"/>
    <w:rsid w:val="00542C1E"/>
    <w:rsid w:val="005442D6"/>
    <w:rsid w:val="005455C2"/>
    <w:rsid w:val="00546FA5"/>
    <w:rsid w:val="00566DE0"/>
    <w:rsid w:val="0057132E"/>
    <w:rsid w:val="005C6632"/>
    <w:rsid w:val="005D2CC3"/>
    <w:rsid w:val="005E65E8"/>
    <w:rsid w:val="00606372"/>
    <w:rsid w:val="006068ED"/>
    <w:rsid w:val="006438A8"/>
    <w:rsid w:val="00644089"/>
    <w:rsid w:val="00655242"/>
    <w:rsid w:val="00676A70"/>
    <w:rsid w:val="006847A6"/>
    <w:rsid w:val="00685B2A"/>
    <w:rsid w:val="00694675"/>
    <w:rsid w:val="006B34FB"/>
    <w:rsid w:val="006D4536"/>
    <w:rsid w:val="006E1499"/>
    <w:rsid w:val="00762817"/>
    <w:rsid w:val="00765A0C"/>
    <w:rsid w:val="00780473"/>
    <w:rsid w:val="007D2BD2"/>
    <w:rsid w:val="007D4748"/>
    <w:rsid w:val="007D5E3E"/>
    <w:rsid w:val="007F3D4C"/>
    <w:rsid w:val="0083058E"/>
    <w:rsid w:val="0086601E"/>
    <w:rsid w:val="008D1482"/>
    <w:rsid w:val="008D261B"/>
    <w:rsid w:val="008D6A9F"/>
    <w:rsid w:val="0090228A"/>
    <w:rsid w:val="0091547A"/>
    <w:rsid w:val="00946BBC"/>
    <w:rsid w:val="0099303A"/>
    <w:rsid w:val="009D372D"/>
    <w:rsid w:val="009D6B1F"/>
    <w:rsid w:val="00A13E20"/>
    <w:rsid w:val="00AB18F8"/>
    <w:rsid w:val="00AC372F"/>
    <w:rsid w:val="00B00771"/>
    <w:rsid w:val="00B30B9A"/>
    <w:rsid w:val="00BA4928"/>
    <w:rsid w:val="00BC3D31"/>
    <w:rsid w:val="00C347CD"/>
    <w:rsid w:val="00C737DF"/>
    <w:rsid w:val="00C84AF4"/>
    <w:rsid w:val="00CA7A51"/>
    <w:rsid w:val="00CB7A31"/>
    <w:rsid w:val="00D44FBF"/>
    <w:rsid w:val="00D85D2D"/>
    <w:rsid w:val="00E379EC"/>
    <w:rsid w:val="00E57862"/>
    <w:rsid w:val="00E64C69"/>
    <w:rsid w:val="00EB732C"/>
    <w:rsid w:val="00EE3F1B"/>
    <w:rsid w:val="00EF3F80"/>
    <w:rsid w:val="00F0509F"/>
    <w:rsid w:val="00F40CFE"/>
    <w:rsid w:val="00F54A29"/>
    <w:rsid w:val="00F62A8B"/>
    <w:rsid w:val="00F6747A"/>
    <w:rsid w:val="00FC19DE"/>
    <w:rsid w:val="00FC77DB"/>
    <w:rsid w:val="00FE6BE4"/>
    <w:rsid w:val="00FF2A3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8F7"/>
  <w15:chartTrackingRefBased/>
  <w15:docId w15:val="{7711AC2A-7814-44F0-9081-8153C33A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242"/>
  </w:style>
  <w:style w:type="paragraph" w:styleId="Piedepgina">
    <w:name w:val="footer"/>
    <w:basedOn w:val="Normal"/>
    <w:link w:val="PiedepginaCar"/>
    <w:uiPriority w:val="99"/>
    <w:unhideWhenUsed/>
    <w:rsid w:val="00655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242"/>
  </w:style>
  <w:style w:type="paragraph" w:styleId="Sinespaciado">
    <w:name w:val="No Spacing"/>
    <w:uiPriority w:val="1"/>
    <w:qFormat/>
    <w:rsid w:val="00655242"/>
    <w:pPr>
      <w:spacing w:after="0" w:line="240" w:lineRule="auto"/>
    </w:pPr>
    <w:rPr>
      <w:rFonts w:eastAsiaTheme="minorEastAsia"/>
      <w:lang w:val="es-CO" w:eastAsia="es-CO"/>
    </w:rPr>
  </w:style>
  <w:style w:type="table" w:styleId="Tablaconcuadrcula">
    <w:name w:val="Table Grid"/>
    <w:basedOn w:val="Tablanormal"/>
    <w:uiPriority w:val="39"/>
    <w:rsid w:val="00332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Encabezado"/>
    <w:link w:val="Estilo1Car"/>
    <w:qFormat/>
    <w:rsid w:val="00332782"/>
    <w:pPr>
      <w:tabs>
        <w:tab w:val="left" w:pos="952"/>
        <w:tab w:val="center" w:pos="5480"/>
      </w:tabs>
    </w:pPr>
    <w:rPr>
      <w:rFonts w:ascii="Century Gothic" w:hAnsi="Century Gothic" w:cs="Tahoma"/>
      <w:sz w:val="20"/>
      <w:szCs w:val="20"/>
      <w:lang w:val="es-CO"/>
    </w:rPr>
  </w:style>
  <w:style w:type="character" w:customStyle="1" w:styleId="Estilo1Car">
    <w:name w:val="Estilo1 Car"/>
    <w:basedOn w:val="EncabezadoCar"/>
    <w:link w:val="Estilo1"/>
    <w:rsid w:val="00332782"/>
    <w:rPr>
      <w:rFonts w:ascii="Century Gothic" w:hAnsi="Century Gothic" w:cs="Tahoma"/>
      <w:sz w:val="20"/>
      <w:szCs w:val="20"/>
      <w:lang w:val="es-CO"/>
    </w:rPr>
  </w:style>
  <w:style w:type="paragraph" w:styleId="Textodeglobo">
    <w:name w:val="Balloon Text"/>
    <w:basedOn w:val="Normal"/>
    <w:link w:val="TextodegloboCar"/>
    <w:uiPriority w:val="99"/>
    <w:semiHidden/>
    <w:unhideWhenUsed/>
    <w:rsid w:val="00E64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C69"/>
    <w:rPr>
      <w:rFonts w:ascii="Segoe UI" w:hAnsi="Segoe UI" w:cs="Segoe UI"/>
      <w:sz w:val="18"/>
      <w:szCs w:val="18"/>
    </w:rPr>
  </w:style>
  <w:style w:type="character" w:styleId="Hipervnculo">
    <w:name w:val="Hyperlink"/>
    <w:basedOn w:val="Fuentedeprrafopredeter"/>
    <w:uiPriority w:val="99"/>
    <w:unhideWhenUsed/>
    <w:rsid w:val="00161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8302">
      <w:bodyDiv w:val="1"/>
      <w:marLeft w:val="0"/>
      <w:marRight w:val="0"/>
      <w:marTop w:val="0"/>
      <w:marBottom w:val="0"/>
      <w:divBdr>
        <w:top w:val="none" w:sz="0" w:space="0" w:color="auto"/>
        <w:left w:val="none" w:sz="0" w:space="0" w:color="auto"/>
        <w:bottom w:val="none" w:sz="0" w:space="0" w:color="auto"/>
        <w:right w:val="none" w:sz="0" w:space="0" w:color="auto"/>
      </w:divBdr>
    </w:div>
    <w:div w:id="197815932">
      <w:bodyDiv w:val="1"/>
      <w:marLeft w:val="0"/>
      <w:marRight w:val="0"/>
      <w:marTop w:val="0"/>
      <w:marBottom w:val="0"/>
      <w:divBdr>
        <w:top w:val="none" w:sz="0" w:space="0" w:color="auto"/>
        <w:left w:val="none" w:sz="0" w:space="0" w:color="auto"/>
        <w:bottom w:val="none" w:sz="0" w:space="0" w:color="auto"/>
        <w:right w:val="none" w:sz="0" w:space="0" w:color="auto"/>
      </w:divBdr>
    </w:div>
    <w:div w:id="271788634">
      <w:bodyDiv w:val="1"/>
      <w:marLeft w:val="0"/>
      <w:marRight w:val="0"/>
      <w:marTop w:val="0"/>
      <w:marBottom w:val="0"/>
      <w:divBdr>
        <w:top w:val="none" w:sz="0" w:space="0" w:color="auto"/>
        <w:left w:val="none" w:sz="0" w:space="0" w:color="auto"/>
        <w:bottom w:val="none" w:sz="0" w:space="0" w:color="auto"/>
        <w:right w:val="none" w:sz="0" w:space="0" w:color="auto"/>
      </w:divBdr>
    </w:div>
    <w:div w:id="344285321">
      <w:bodyDiv w:val="1"/>
      <w:marLeft w:val="0"/>
      <w:marRight w:val="0"/>
      <w:marTop w:val="0"/>
      <w:marBottom w:val="0"/>
      <w:divBdr>
        <w:top w:val="none" w:sz="0" w:space="0" w:color="auto"/>
        <w:left w:val="none" w:sz="0" w:space="0" w:color="auto"/>
        <w:bottom w:val="none" w:sz="0" w:space="0" w:color="auto"/>
        <w:right w:val="none" w:sz="0" w:space="0" w:color="auto"/>
      </w:divBdr>
    </w:div>
    <w:div w:id="567421999">
      <w:bodyDiv w:val="1"/>
      <w:marLeft w:val="0"/>
      <w:marRight w:val="0"/>
      <w:marTop w:val="0"/>
      <w:marBottom w:val="0"/>
      <w:divBdr>
        <w:top w:val="none" w:sz="0" w:space="0" w:color="auto"/>
        <w:left w:val="none" w:sz="0" w:space="0" w:color="auto"/>
        <w:bottom w:val="none" w:sz="0" w:space="0" w:color="auto"/>
        <w:right w:val="none" w:sz="0" w:space="0" w:color="auto"/>
      </w:divBdr>
    </w:div>
    <w:div w:id="777722241">
      <w:bodyDiv w:val="1"/>
      <w:marLeft w:val="0"/>
      <w:marRight w:val="0"/>
      <w:marTop w:val="0"/>
      <w:marBottom w:val="0"/>
      <w:divBdr>
        <w:top w:val="none" w:sz="0" w:space="0" w:color="auto"/>
        <w:left w:val="none" w:sz="0" w:space="0" w:color="auto"/>
        <w:bottom w:val="none" w:sz="0" w:space="0" w:color="auto"/>
        <w:right w:val="none" w:sz="0" w:space="0" w:color="auto"/>
      </w:divBdr>
    </w:div>
    <w:div w:id="808672217">
      <w:bodyDiv w:val="1"/>
      <w:marLeft w:val="0"/>
      <w:marRight w:val="0"/>
      <w:marTop w:val="0"/>
      <w:marBottom w:val="0"/>
      <w:divBdr>
        <w:top w:val="none" w:sz="0" w:space="0" w:color="auto"/>
        <w:left w:val="none" w:sz="0" w:space="0" w:color="auto"/>
        <w:bottom w:val="none" w:sz="0" w:space="0" w:color="auto"/>
        <w:right w:val="none" w:sz="0" w:space="0" w:color="auto"/>
      </w:divBdr>
    </w:div>
    <w:div w:id="1538201230">
      <w:bodyDiv w:val="1"/>
      <w:marLeft w:val="0"/>
      <w:marRight w:val="0"/>
      <w:marTop w:val="0"/>
      <w:marBottom w:val="0"/>
      <w:divBdr>
        <w:top w:val="none" w:sz="0" w:space="0" w:color="auto"/>
        <w:left w:val="none" w:sz="0" w:space="0" w:color="auto"/>
        <w:bottom w:val="none" w:sz="0" w:space="0" w:color="auto"/>
        <w:right w:val="none" w:sz="0" w:space="0" w:color="auto"/>
      </w:divBdr>
    </w:div>
    <w:div w:id="1557159774">
      <w:bodyDiv w:val="1"/>
      <w:marLeft w:val="0"/>
      <w:marRight w:val="0"/>
      <w:marTop w:val="0"/>
      <w:marBottom w:val="0"/>
      <w:divBdr>
        <w:top w:val="none" w:sz="0" w:space="0" w:color="auto"/>
        <w:left w:val="none" w:sz="0" w:space="0" w:color="auto"/>
        <w:bottom w:val="none" w:sz="0" w:space="0" w:color="auto"/>
        <w:right w:val="none" w:sz="0" w:space="0" w:color="auto"/>
      </w:divBdr>
    </w:div>
    <w:div w:id="1637446390">
      <w:bodyDiv w:val="1"/>
      <w:marLeft w:val="0"/>
      <w:marRight w:val="0"/>
      <w:marTop w:val="0"/>
      <w:marBottom w:val="0"/>
      <w:divBdr>
        <w:top w:val="none" w:sz="0" w:space="0" w:color="auto"/>
        <w:left w:val="none" w:sz="0" w:space="0" w:color="auto"/>
        <w:bottom w:val="none" w:sz="0" w:space="0" w:color="auto"/>
        <w:right w:val="none" w:sz="0" w:space="0" w:color="auto"/>
      </w:divBdr>
    </w:div>
    <w:div w:id="1806191636">
      <w:bodyDiv w:val="1"/>
      <w:marLeft w:val="0"/>
      <w:marRight w:val="0"/>
      <w:marTop w:val="0"/>
      <w:marBottom w:val="0"/>
      <w:divBdr>
        <w:top w:val="none" w:sz="0" w:space="0" w:color="auto"/>
        <w:left w:val="none" w:sz="0" w:space="0" w:color="auto"/>
        <w:bottom w:val="none" w:sz="0" w:space="0" w:color="auto"/>
        <w:right w:val="none" w:sz="0" w:space="0" w:color="auto"/>
      </w:divBdr>
    </w:div>
    <w:div w:id="2002811193">
      <w:bodyDiv w:val="1"/>
      <w:marLeft w:val="0"/>
      <w:marRight w:val="0"/>
      <w:marTop w:val="0"/>
      <w:marBottom w:val="0"/>
      <w:divBdr>
        <w:top w:val="none" w:sz="0" w:space="0" w:color="auto"/>
        <w:left w:val="none" w:sz="0" w:space="0" w:color="auto"/>
        <w:bottom w:val="none" w:sz="0" w:space="0" w:color="auto"/>
        <w:right w:val="none" w:sz="0" w:space="0" w:color="auto"/>
      </w:divBdr>
    </w:div>
    <w:div w:id="21164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KATHERINE DIAZ AMAYA</dc:creator>
  <cp:keywords/>
  <dc:description/>
  <cp:lastModifiedBy>Julieth Tatiana Perez Pimiento</cp:lastModifiedBy>
  <cp:revision>3</cp:revision>
  <cp:lastPrinted>2023-05-04T21:27:00Z</cp:lastPrinted>
  <dcterms:created xsi:type="dcterms:W3CDTF">2024-01-24T12:33:00Z</dcterms:created>
  <dcterms:modified xsi:type="dcterms:W3CDTF">2024-01-24T15:55:00Z</dcterms:modified>
</cp:coreProperties>
</file>